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A3659" w14:textId="4B2B7773" w:rsidR="00B710ED" w:rsidRPr="00B710ED" w:rsidRDefault="00092FE6" w:rsidP="005A3CFE">
      <w:pPr>
        <w:ind w:left="5220" w:right="193"/>
        <w:rPr>
          <w:sz w:val="24"/>
          <w:szCs w:val="24"/>
        </w:rPr>
      </w:pPr>
      <w:r>
        <w:rPr>
          <w:sz w:val="24"/>
          <w:szCs w:val="24"/>
        </w:rPr>
        <w:t>«</w:t>
      </w:r>
      <w:r w:rsidR="00C53E09">
        <w:rPr>
          <w:sz w:val="24"/>
          <w:szCs w:val="24"/>
        </w:rPr>
        <w:t xml:space="preserve">Приложение № </w:t>
      </w:r>
      <w:r w:rsidR="00B1629C">
        <w:rPr>
          <w:sz w:val="24"/>
          <w:szCs w:val="24"/>
        </w:rPr>
        <w:t>11</w:t>
      </w:r>
      <w:bookmarkStart w:id="0" w:name="_GoBack"/>
      <w:bookmarkEnd w:id="0"/>
    </w:p>
    <w:p w14:paraId="5BE3D630" w14:textId="0F393FEC" w:rsidR="00B710ED" w:rsidRPr="00B710ED" w:rsidRDefault="00B710ED" w:rsidP="005A3CFE">
      <w:pPr>
        <w:ind w:left="5220" w:right="193"/>
        <w:rPr>
          <w:sz w:val="24"/>
          <w:szCs w:val="24"/>
        </w:rPr>
      </w:pPr>
      <w:r w:rsidRPr="00B710ED">
        <w:rPr>
          <w:sz w:val="24"/>
          <w:szCs w:val="24"/>
        </w:rPr>
        <w:t xml:space="preserve">к решению Думы Тулунского муниципального района "О бюджете Тулунского муниципального района на </w:t>
      </w:r>
      <w:r w:rsidR="005A3CFE">
        <w:rPr>
          <w:sz w:val="24"/>
          <w:szCs w:val="24"/>
        </w:rPr>
        <w:t>2</w:t>
      </w:r>
      <w:r w:rsidRPr="00B710ED">
        <w:rPr>
          <w:sz w:val="24"/>
          <w:szCs w:val="24"/>
        </w:rPr>
        <w:t>0</w:t>
      </w:r>
      <w:r w:rsidR="005A3CFE">
        <w:rPr>
          <w:sz w:val="24"/>
          <w:szCs w:val="24"/>
        </w:rPr>
        <w:t>2</w:t>
      </w:r>
      <w:r w:rsidR="008006D5">
        <w:rPr>
          <w:sz w:val="24"/>
          <w:szCs w:val="24"/>
        </w:rPr>
        <w:t>3</w:t>
      </w:r>
      <w:r w:rsidR="00C00200" w:rsidRPr="00C00200">
        <w:rPr>
          <w:sz w:val="24"/>
          <w:szCs w:val="24"/>
        </w:rPr>
        <w:t xml:space="preserve"> </w:t>
      </w:r>
      <w:r w:rsidRPr="00B710ED">
        <w:rPr>
          <w:sz w:val="24"/>
          <w:szCs w:val="24"/>
        </w:rPr>
        <w:t>год и на плановый период 202</w:t>
      </w:r>
      <w:r w:rsidR="008006D5">
        <w:rPr>
          <w:sz w:val="24"/>
          <w:szCs w:val="24"/>
        </w:rPr>
        <w:t>4</w:t>
      </w:r>
      <w:r w:rsidRPr="00B710ED">
        <w:rPr>
          <w:sz w:val="24"/>
          <w:szCs w:val="24"/>
        </w:rPr>
        <w:t xml:space="preserve"> и 202</w:t>
      </w:r>
      <w:r w:rsidR="008006D5">
        <w:rPr>
          <w:sz w:val="24"/>
          <w:szCs w:val="24"/>
        </w:rPr>
        <w:t>5</w:t>
      </w:r>
      <w:r w:rsidRPr="00B710ED">
        <w:rPr>
          <w:sz w:val="24"/>
          <w:szCs w:val="24"/>
        </w:rPr>
        <w:t xml:space="preserve"> годов" </w:t>
      </w:r>
    </w:p>
    <w:p w14:paraId="712FEB76" w14:textId="704E10E1" w:rsidR="00DD7AAC" w:rsidRPr="00C1381A" w:rsidRDefault="00C00200" w:rsidP="008006D5">
      <w:pPr>
        <w:ind w:left="5245"/>
        <w:jc w:val="both"/>
        <w:rPr>
          <w:sz w:val="24"/>
          <w:szCs w:val="24"/>
          <w:u w:val="single"/>
        </w:rPr>
      </w:pPr>
      <w:r w:rsidRPr="00C00200">
        <w:rPr>
          <w:rFonts w:eastAsia="Times New Roman"/>
          <w:sz w:val="24"/>
          <w:szCs w:val="24"/>
        </w:rPr>
        <w:t>от «</w:t>
      </w:r>
      <w:r w:rsidR="008006D5">
        <w:rPr>
          <w:rFonts w:eastAsia="Times New Roman"/>
          <w:sz w:val="24"/>
          <w:szCs w:val="24"/>
        </w:rPr>
        <w:t xml:space="preserve">     </w:t>
      </w:r>
      <w:r w:rsidRPr="00C00200">
        <w:rPr>
          <w:rFonts w:eastAsia="Times New Roman"/>
          <w:sz w:val="24"/>
          <w:szCs w:val="24"/>
        </w:rPr>
        <w:t>»</w:t>
      </w:r>
      <w:r w:rsidR="00C60591">
        <w:rPr>
          <w:rFonts w:eastAsia="Times New Roman"/>
          <w:sz w:val="24"/>
          <w:szCs w:val="24"/>
        </w:rPr>
        <w:t xml:space="preserve"> </w:t>
      </w:r>
      <w:r w:rsidR="008006D5">
        <w:rPr>
          <w:rFonts w:eastAsia="Times New Roman"/>
          <w:sz w:val="24"/>
          <w:szCs w:val="24"/>
        </w:rPr>
        <w:t xml:space="preserve">                             </w:t>
      </w:r>
      <w:r w:rsidR="00C60591">
        <w:rPr>
          <w:rFonts w:eastAsia="Times New Roman"/>
          <w:sz w:val="24"/>
          <w:szCs w:val="24"/>
        </w:rPr>
        <w:t xml:space="preserve"> </w:t>
      </w:r>
      <w:r w:rsidRPr="00C00200">
        <w:rPr>
          <w:rFonts w:eastAsia="Times New Roman"/>
          <w:sz w:val="24"/>
          <w:szCs w:val="24"/>
        </w:rPr>
        <w:t>202</w:t>
      </w:r>
      <w:r w:rsidR="008006D5">
        <w:rPr>
          <w:rFonts w:eastAsia="Times New Roman"/>
          <w:sz w:val="24"/>
          <w:szCs w:val="24"/>
        </w:rPr>
        <w:t>2</w:t>
      </w:r>
      <w:r w:rsidRPr="00C00200">
        <w:rPr>
          <w:rFonts w:eastAsia="Times New Roman"/>
          <w:sz w:val="24"/>
          <w:szCs w:val="24"/>
        </w:rPr>
        <w:t xml:space="preserve">г. №  </w:t>
      </w:r>
    </w:p>
    <w:p w14:paraId="5668FBF0" w14:textId="77777777" w:rsidR="00DD7AAC" w:rsidRPr="002E0410" w:rsidRDefault="00DD7AAC" w:rsidP="009876EE">
      <w:pPr>
        <w:rPr>
          <w:sz w:val="22"/>
          <w:szCs w:val="22"/>
        </w:rPr>
      </w:pPr>
    </w:p>
    <w:p w14:paraId="1495F996" w14:textId="77777777" w:rsidR="00DD7AAC" w:rsidRDefault="00DD7AAC" w:rsidP="009876EE">
      <w:pPr>
        <w:pStyle w:val="ConsPlusTitle"/>
        <w:widowControl/>
        <w:jc w:val="center"/>
        <w:rPr>
          <w:b w:val="0"/>
          <w:bCs w:val="0"/>
          <w:color w:val="000000"/>
          <w:sz w:val="28"/>
          <w:szCs w:val="28"/>
        </w:rPr>
      </w:pPr>
    </w:p>
    <w:p w14:paraId="7328C9E6" w14:textId="77777777" w:rsidR="00234703" w:rsidRDefault="00F41814" w:rsidP="009403C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9403C1">
        <w:rPr>
          <w:sz w:val="28"/>
          <w:szCs w:val="28"/>
        </w:rPr>
        <w:t xml:space="preserve"> ОПРЕДЕЛЕНИЯ РАСЧЕТНОГО ОБЪЕМА ДОХОДНЫХ ИСТОЧНИКОВ И РАСЧЕТНОГО ОБЪЕМА РАСХОДНЫХ </w:t>
      </w:r>
    </w:p>
    <w:p w14:paraId="5D92C8DC" w14:textId="77777777" w:rsidR="00234703" w:rsidRDefault="009403C1" w:rsidP="009403C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ОБЯЗАТЕЛЬСТВ </w:t>
      </w:r>
      <w:r w:rsidR="00234703">
        <w:rPr>
          <w:sz w:val="28"/>
          <w:szCs w:val="28"/>
        </w:rPr>
        <w:t xml:space="preserve">ПОСЕЛЕНИЙ ТУЛУНСКОГО </w:t>
      </w:r>
    </w:p>
    <w:p w14:paraId="7A74D9E0" w14:textId="3F132C2E" w:rsidR="00234703" w:rsidRDefault="00234703" w:rsidP="009403C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МУНИЦИИАЛЬНОГО РАЙОНА</w:t>
      </w:r>
    </w:p>
    <w:p w14:paraId="35BACB2F" w14:textId="77777777" w:rsidR="00234703" w:rsidRDefault="00234703" w:rsidP="009403C1">
      <w:pPr>
        <w:pStyle w:val="ConsPlusTitle"/>
        <w:jc w:val="center"/>
        <w:rPr>
          <w:sz w:val="28"/>
          <w:szCs w:val="28"/>
        </w:rPr>
      </w:pPr>
    </w:p>
    <w:p w14:paraId="0DA6A589" w14:textId="2CF2ED4D" w:rsidR="00DD7AAC" w:rsidRDefault="00DD7AAC" w:rsidP="005F22DF">
      <w:pPr>
        <w:ind w:firstLine="284"/>
        <w:jc w:val="both"/>
        <w:rPr>
          <w:sz w:val="24"/>
          <w:szCs w:val="24"/>
        </w:rPr>
      </w:pPr>
    </w:p>
    <w:p w14:paraId="168EA029" w14:textId="3511A363" w:rsidR="00054DAA" w:rsidRDefault="00054DAA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</w:t>
      </w:r>
      <w:r w:rsidR="008C3982">
        <w:rPr>
          <w:sz w:val="28"/>
          <w:szCs w:val="28"/>
        </w:rPr>
        <w:t>ом</w:t>
      </w:r>
      <w:r>
        <w:rPr>
          <w:sz w:val="28"/>
          <w:szCs w:val="28"/>
        </w:rPr>
        <w:t xml:space="preserve"> Иркутской области </w:t>
      </w:r>
      <w:r w:rsidR="0014470B">
        <w:rPr>
          <w:sz w:val="28"/>
          <w:szCs w:val="28"/>
        </w:rPr>
        <w:t xml:space="preserve">от 30 ноября 2021 года             № 121-ОЗ </w:t>
      </w:r>
      <w:r>
        <w:rPr>
          <w:sz w:val="28"/>
          <w:szCs w:val="28"/>
        </w:rPr>
        <w:t>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</w:t>
      </w:r>
      <w:r w:rsidRPr="00054DAA">
        <w:rPr>
          <w:sz w:val="28"/>
          <w:szCs w:val="28"/>
        </w:rPr>
        <w:t xml:space="preserve"> </w:t>
      </w:r>
      <w:r w:rsidRPr="0080216A">
        <w:rPr>
          <w:sz w:val="28"/>
          <w:szCs w:val="28"/>
        </w:rPr>
        <w:t>на выравнивание бюджетной обеспеченности поселений, входящих в состав муниципального района Иркутской области, бюджетам поселений</w:t>
      </w:r>
      <w:r w:rsidR="0014470B">
        <w:rPr>
          <w:sz w:val="28"/>
          <w:szCs w:val="28"/>
        </w:rPr>
        <w:t xml:space="preserve"> за счет средств областного бюджета</w:t>
      </w:r>
      <w:r>
        <w:rPr>
          <w:sz w:val="28"/>
          <w:szCs w:val="28"/>
        </w:rPr>
        <w:t xml:space="preserve">», из бюджета </w:t>
      </w:r>
      <w:r w:rsidRPr="00F250F1">
        <w:rPr>
          <w:sz w:val="28"/>
          <w:szCs w:val="28"/>
        </w:rPr>
        <w:t>Тулунского муниципального района</w:t>
      </w:r>
      <w:r>
        <w:rPr>
          <w:sz w:val="28"/>
          <w:szCs w:val="28"/>
        </w:rPr>
        <w:t xml:space="preserve"> бюджетам поселений предоставляется</w:t>
      </w:r>
      <w:r w:rsidRPr="00054DAA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F250F1">
        <w:rPr>
          <w:sz w:val="28"/>
          <w:szCs w:val="28"/>
        </w:rPr>
        <w:t>отаци</w:t>
      </w:r>
      <w:r>
        <w:rPr>
          <w:sz w:val="28"/>
          <w:szCs w:val="28"/>
        </w:rPr>
        <w:t>я</w:t>
      </w:r>
      <w:r w:rsidRPr="00F250F1">
        <w:rPr>
          <w:sz w:val="28"/>
          <w:szCs w:val="28"/>
        </w:rPr>
        <w:t xml:space="preserve"> на выравнивание бюджетной обеспеченности поселений, входящих в состав Тулунского муниципального района</w:t>
      </w:r>
      <w:r>
        <w:rPr>
          <w:sz w:val="28"/>
          <w:szCs w:val="28"/>
        </w:rPr>
        <w:t xml:space="preserve"> (далее – дотация).</w:t>
      </w:r>
    </w:p>
    <w:p w14:paraId="093D14E5" w14:textId="333100B1" w:rsidR="0080216A" w:rsidRPr="00BF745F" w:rsidRDefault="00981A7B" w:rsidP="00C758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</w:t>
      </w:r>
      <w:r w:rsidRPr="00F250F1">
        <w:rPr>
          <w:sz w:val="28"/>
          <w:szCs w:val="28"/>
        </w:rPr>
        <w:t>показателей для расчета дотации</w:t>
      </w:r>
      <w:r w:rsidR="00054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на основании данных, представленных органами местного самоуправления муниципальных образований </w:t>
      </w:r>
      <w:r w:rsidR="0080216A">
        <w:rPr>
          <w:sz w:val="28"/>
          <w:szCs w:val="28"/>
        </w:rPr>
        <w:t>сельских поселений</w:t>
      </w:r>
      <w:r w:rsidR="003A1739" w:rsidRPr="003A1739">
        <w:rPr>
          <w:sz w:val="28"/>
          <w:szCs w:val="28"/>
        </w:rPr>
        <w:t xml:space="preserve"> (</w:t>
      </w:r>
      <w:r w:rsidR="003A1739">
        <w:rPr>
          <w:sz w:val="28"/>
          <w:szCs w:val="28"/>
        </w:rPr>
        <w:t>далее – МО)</w:t>
      </w:r>
      <w:r w:rsidR="0080216A">
        <w:rPr>
          <w:sz w:val="28"/>
          <w:szCs w:val="28"/>
        </w:rPr>
        <w:t xml:space="preserve"> в </w:t>
      </w:r>
      <w:hyperlink r:id="rId9" w:history="1">
        <w:r w:rsidR="0080216A" w:rsidRPr="00BF745F">
          <w:rPr>
            <w:sz w:val="28"/>
            <w:szCs w:val="28"/>
          </w:rPr>
          <w:t>оценк</w:t>
        </w:r>
        <w:r w:rsidR="0080216A">
          <w:rPr>
            <w:sz w:val="28"/>
            <w:szCs w:val="28"/>
          </w:rPr>
          <w:t>е</w:t>
        </w:r>
      </w:hyperlink>
      <w:r w:rsidR="0080216A" w:rsidRPr="00BF745F">
        <w:rPr>
          <w:sz w:val="28"/>
          <w:szCs w:val="28"/>
        </w:rPr>
        <w:t xml:space="preserve">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по состоянию на 1 </w:t>
      </w:r>
      <w:r w:rsidR="007C11D0">
        <w:rPr>
          <w:sz w:val="28"/>
          <w:szCs w:val="28"/>
        </w:rPr>
        <w:t>октября</w:t>
      </w:r>
      <w:r w:rsidR="0080216A" w:rsidRPr="00BF745F">
        <w:rPr>
          <w:sz w:val="28"/>
          <w:szCs w:val="28"/>
        </w:rPr>
        <w:t xml:space="preserve"> 202</w:t>
      </w:r>
      <w:r w:rsidR="007C11D0">
        <w:rPr>
          <w:sz w:val="28"/>
          <w:szCs w:val="28"/>
        </w:rPr>
        <w:t>2</w:t>
      </w:r>
      <w:r w:rsidR="0080216A" w:rsidRPr="00BF745F">
        <w:rPr>
          <w:sz w:val="28"/>
          <w:szCs w:val="28"/>
        </w:rPr>
        <w:t xml:space="preserve"> года по форме, утвержденной приказом министерства финансов Иркутской области </w:t>
      </w:r>
      <w:r w:rsidR="00C758A8">
        <w:rPr>
          <w:sz w:val="28"/>
          <w:szCs w:val="28"/>
        </w:rPr>
        <w:t>от 22</w:t>
      </w:r>
      <w:r w:rsidR="00C758A8" w:rsidRPr="00BF745F">
        <w:rPr>
          <w:sz w:val="28"/>
          <w:szCs w:val="28"/>
        </w:rPr>
        <w:t xml:space="preserve"> </w:t>
      </w:r>
      <w:r w:rsidR="00C758A8">
        <w:rPr>
          <w:sz w:val="28"/>
          <w:szCs w:val="28"/>
        </w:rPr>
        <w:t>февраля</w:t>
      </w:r>
      <w:r w:rsidR="00C758A8" w:rsidRPr="00BF745F">
        <w:rPr>
          <w:sz w:val="28"/>
          <w:szCs w:val="28"/>
        </w:rPr>
        <w:t xml:space="preserve"> 20</w:t>
      </w:r>
      <w:r w:rsidR="00C758A8">
        <w:rPr>
          <w:sz w:val="28"/>
          <w:szCs w:val="28"/>
        </w:rPr>
        <w:t>22</w:t>
      </w:r>
      <w:r w:rsidR="00C758A8" w:rsidRPr="00BF745F">
        <w:rPr>
          <w:sz w:val="28"/>
          <w:szCs w:val="28"/>
        </w:rPr>
        <w:t xml:space="preserve"> года N </w:t>
      </w:r>
      <w:r w:rsidR="00C758A8">
        <w:rPr>
          <w:sz w:val="28"/>
          <w:szCs w:val="28"/>
        </w:rPr>
        <w:t>10</w:t>
      </w:r>
      <w:r w:rsidR="00C758A8" w:rsidRPr="00BF745F">
        <w:rPr>
          <w:sz w:val="28"/>
          <w:szCs w:val="28"/>
        </w:rPr>
        <w:t>н-мпр</w:t>
      </w:r>
      <w:r w:rsidR="00C758A8">
        <w:rPr>
          <w:sz w:val="28"/>
          <w:szCs w:val="28"/>
        </w:rPr>
        <w:t xml:space="preserve"> </w:t>
      </w:r>
      <w:r w:rsidR="00F56977">
        <w:rPr>
          <w:sz w:val="28"/>
          <w:szCs w:val="28"/>
        </w:rPr>
        <w:t>(далее – оценка исполнения бюджета)</w:t>
      </w:r>
      <w:r w:rsidR="0080216A" w:rsidRPr="00BF745F">
        <w:rPr>
          <w:sz w:val="28"/>
          <w:szCs w:val="28"/>
        </w:rPr>
        <w:t>.</w:t>
      </w:r>
    </w:p>
    <w:p w14:paraId="7BC23CE2" w14:textId="39044D2D" w:rsidR="00981A7B" w:rsidRPr="0080216A" w:rsidRDefault="0080216A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Расчетный объем доходных источников, которые могут быть направлены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-ым </w:t>
      </w:r>
      <w:r w:rsidR="003A1739">
        <w:rPr>
          <w:sz w:val="28"/>
          <w:szCs w:val="28"/>
        </w:rPr>
        <w:t>МО</w:t>
      </w:r>
      <w:r>
        <w:rPr>
          <w:sz w:val="28"/>
          <w:szCs w:val="28"/>
        </w:rPr>
        <w:t>, входящим в состав Тулунского муниципального района на исполнение расходных обязательств на 202</w:t>
      </w:r>
      <w:r w:rsidR="007C11D0">
        <w:rPr>
          <w:sz w:val="28"/>
          <w:szCs w:val="28"/>
        </w:rPr>
        <w:t>3</w:t>
      </w:r>
      <w:r>
        <w:rPr>
          <w:sz w:val="28"/>
          <w:szCs w:val="28"/>
        </w:rPr>
        <w:t xml:space="preserve"> и на плановый период 202</w:t>
      </w:r>
      <w:r w:rsidR="007C11D0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7C11D0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(П</w:t>
      </w:r>
      <w:r>
        <w:rPr>
          <w:sz w:val="28"/>
          <w:szCs w:val="28"/>
          <w:vertAlign w:val="subscript"/>
          <w:lang w:val="en-US"/>
        </w:rPr>
        <w:t>j</w:t>
      </w:r>
      <w:r w:rsidRPr="0080216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80216A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определяется по формуле:</w:t>
      </w:r>
    </w:p>
    <w:p w14:paraId="7AA8D162" w14:textId="77777777" w:rsidR="0080216A" w:rsidRPr="0080216A" w:rsidRDefault="0080216A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</w:p>
    <w:p w14:paraId="6F2F0265" w14:textId="4DF2A774" w:rsidR="007A251D" w:rsidRPr="006A14CF" w:rsidRDefault="00B1629C" w:rsidP="00FE6E3D">
      <w:pPr>
        <w:ind w:right="170"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ДВБО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7A251D" w:rsidRPr="006A14CF">
        <w:rPr>
          <w:position w:val="-12"/>
          <w:sz w:val="28"/>
          <w:szCs w:val="28"/>
        </w:rPr>
        <w:t xml:space="preserve"> </w:t>
      </w:r>
      <w:r w:rsidR="007A251D" w:rsidRPr="006A14CF">
        <w:rPr>
          <w:sz w:val="28"/>
          <w:szCs w:val="28"/>
        </w:rPr>
        <w:t>, где</w:t>
      </w:r>
    </w:p>
    <w:p w14:paraId="1B86409A" w14:textId="38B9C839" w:rsidR="007A251D" w:rsidRPr="00E20884" w:rsidRDefault="007A251D" w:rsidP="00FE6E3D">
      <w:pPr>
        <w:ind w:right="170" w:firstLine="709"/>
        <w:jc w:val="center"/>
        <w:rPr>
          <w:sz w:val="28"/>
          <w:szCs w:val="28"/>
        </w:rPr>
      </w:pPr>
      <w:r w:rsidRPr="00E20884">
        <w:rPr>
          <w:b/>
          <w:color w:val="FF9900"/>
          <w:position w:val="-12"/>
          <w:sz w:val="28"/>
          <w:szCs w:val="28"/>
        </w:rPr>
        <w:t xml:space="preserve">                 </w:t>
      </w:r>
      <w:r w:rsidRPr="00E20884">
        <w:rPr>
          <w:sz w:val="28"/>
          <w:szCs w:val="28"/>
        </w:rPr>
        <w:t xml:space="preserve">                                     </w:t>
      </w:r>
    </w:p>
    <w:p w14:paraId="42BB6FF9" w14:textId="3E12AF13" w:rsidR="007A251D" w:rsidRPr="00E20884" w:rsidRDefault="007A251D" w:rsidP="00FE6E3D">
      <w:pPr>
        <w:ind w:right="170" w:firstLine="709"/>
        <w:jc w:val="both"/>
        <w:rPr>
          <w:sz w:val="28"/>
          <w:szCs w:val="28"/>
        </w:rPr>
      </w:pPr>
      <w:r w:rsidRPr="00E20884">
        <w:rPr>
          <w:sz w:val="28"/>
          <w:szCs w:val="28"/>
        </w:rPr>
        <w:t>ННД</w:t>
      </w:r>
      <w:r w:rsidR="00EE4600">
        <w:rPr>
          <w:sz w:val="28"/>
          <w:szCs w:val="28"/>
          <w:vertAlign w:val="subscript"/>
          <w:lang w:val="en-US"/>
        </w:rPr>
        <w:t>j</w:t>
      </w:r>
      <w:r w:rsidRPr="00E20884">
        <w:rPr>
          <w:sz w:val="28"/>
          <w:szCs w:val="28"/>
        </w:rPr>
        <w:t xml:space="preserve"> – оценка налоговых и неналоговых доходов </w:t>
      </w:r>
      <w:r w:rsidR="003A1739">
        <w:rPr>
          <w:sz w:val="28"/>
          <w:szCs w:val="28"/>
          <w:lang w:val="en-US"/>
        </w:rPr>
        <w:t>j</w:t>
      </w:r>
      <w:r w:rsidRPr="00E20884">
        <w:rPr>
          <w:sz w:val="28"/>
          <w:szCs w:val="28"/>
        </w:rPr>
        <w:t xml:space="preserve">-го </w:t>
      </w:r>
      <w:r>
        <w:rPr>
          <w:sz w:val="28"/>
          <w:szCs w:val="28"/>
        </w:rPr>
        <w:t>МО</w:t>
      </w:r>
      <w:r w:rsidRPr="00E2088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7C11D0">
        <w:rPr>
          <w:sz w:val="28"/>
          <w:szCs w:val="28"/>
        </w:rPr>
        <w:t>3</w:t>
      </w:r>
      <w:r w:rsidRPr="00E20884">
        <w:rPr>
          <w:sz w:val="28"/>
          <w:szCs w:val="28"/>
        </w:rPr>
        <w:t xml:space="preserve"> год;</w:t>
      </w:r>
    </w:p>
    <w:p w14:paraId="3FB3AACF" w14:textId="77E19C5D" w:rsidR="0078019B" w:rsidRPr="0078019B" w:rsidRDefault="007A251D" w:rsidP="00FE6E3D">
      <w:pPr>
        <w:tabs>
          <w:tab w:val="left" w:pos="142"/>
          <w:tab w:val="left" w:pos="993"/>
        </w:tabs>
        <w:ind w:right="170" w:firstLine="709"/>
        <w:jc w:val="both"/>
        <w:rPr>
          <w:rFonts w:eastAsia="Times New Roman"/>
          <w:sz w:val="28"/>
          <w:szCs w:val="28"/>
        </w:rPr>
      </w:pPr>
      <w:r w:rsidRPr="00E20884">
        <w:rPr>
          <w:sz w:val="28"/>
          <w:szCs w:val="28"/>
        </w:rPr>
        <w:t>ДВБО</w:t>
      </w:r>
      <w:r w:rsidR="00EE4600">
        <w:rPr>
          <w:sz w:val="28"/>
          <w:szCs w:val="28"/>
          <w:vertAlign w:val="subscript"/>
          <w:lang w:val="en-US"/>
        </w:rPr>
        <w:t>j</w:t>
      </w:r>
      <w:r w:rsidRPr="00E20884">
        <w:rPr>
          <w:sz w:val="28"/>
          <w:szCs w:val="28"/>
        </w:rPr>
        <w:t xml:space="preserve"> – </w:t>
      </w:r>
      <w:r w:rsidR="00EE4600">
        <w:rPr>
          <w:sz w:val="28"/>
          <w:szCs w:val="28"/>
        </w:rPr>
        <w:t>планируемый</w:t>
      </w:r>
      <w:r w:rsidRPr="00E20884">
        <w:rPr>
          <w:sz w:val="28"/>
          <w:szCs w:val="28"/>
        </w:rPr>
        <w:t xml:space="preserve"> объем дотации на выравнивание бюджетной обеспеченности </w:t>
      </w:r>
      <w:r w:rsidR="00EE4600">
        <w:rPr>
          <w:sz w:val="28"/>
          <w:szCs w:val="28"/>
          <w:lang w:val="en-US"/>
        </w:rPr>
        <w:t>j</w:t>
      </w:r>
      <w:r w:rsidRPr="00E20884">
        <w:rPr>
          <w:sz w:val="28"/>
          <w:szCs w:val="28"/>
        </w:rPr>
        <w:t xml:space="preserve">-му </w:t>
      </w:r>
      <w:r>
        <w:rPr>
          <w:sz w:val="28"/>
          <w:szCs w:val="28"/>
        </w:rPr>
        <w:t>МО</w:t>
      </w:r>
      <w:r w:rsidRPr="00E20884">
        <w:rPr>
          <w:sz w:val="28"/>
          <w:szCs w:val="28"/>
        </w:rPr>
        <w:t xml:space="preserve"> на 202</w:t>
      </w:r>
      <w:r w:rsidR="007C11D0">
        <w:rPr>
          <w:sz w:val="28"/>
          <w:szCs w:val="28"/>
        </w:rPr>
        <w:t>3</w:t>
      </w:r>
      <w:r w:rsidR="00EE4600" w:rsidRPr="00EE4600">
        <w:rPr>
          <w:sz w:val="28"/>
          <w:szCs w:val="28"/>
        </w:rPr>
        <w:t>-202</w:t>
      </w:r>
      <w:r w:rsidR="007C11D0">
        <w:rPr>
          <w:sz w:val="28"/>
          <w:szCs w:val="28"/>
        </w:rPr>
        <w:t>5</w:t>
      </w:r>
      <w:r w:rsidRPr="00E20884">
        <w:rPr>
          <w:sz w:val="28"/>
          <w:szCs w:val="28"/>
        </w:rPr>
        <w:t xml:space="preserve"> год</w:t>
      </w:r>
      <w:r w:rsidR="00EE4600">
        <w:rPr>
          <w:sz w:val="28"/>
          <w:szCs w:val="28"/>
        </w:rPr>
        <w:t>а</w:t>
      </w:r>
      <w:r w:rsidRPr="00E20884">
        <w:rPr>
          <w:sz w:val="28"/>
          <w:szCs w:val="28"/>
        </w:rPr>
        <w:t xml:space="preserve"> в соответствии с </w:t>
      </w:r>
      <w:r w:rsidR="00EE4600">
        <w:rPr>
          <w:sz w:val="28"/>
          <w:szCs w:val="28"/>
        </w:rPr>
        <w:t xml:space="preserve">проектом </w:t>
      </w:r>
      <w:r w:rsidRPr="00E20884">
        <w:rPr>
          <w:sz w:val="28"/>
          <w:szCs w:val="28"/>
        </w:rPr>
        <w:t>решени</w:t>
      </w:r>
      <w:r w:rsidR="00EE4600">
        <w:rPr>
          <w:sz w:val="28"/>
          <w:szCs w:val="28"/>
        </w:rPr>
        <w:t>я</w:t>
      </w:r>
      <w:r w:rsidRPr="00E20884">
        <w:rPr>
          <w:sz w:val="28"/>
          <w:szCs w:val="28"/>
        </w:rPr>
        <w:t xml:space="preserve"> Думы Тулунского муниципального района «О бюджете Тулунского муниципального района на 202</w:t>
      </w:r>
      <w:r w:rsidR="007C11D0">
        <w:rPr>
          <w:sz w:val="28"/>
          <w:szCs w:val="28"/>
        </w:rPr>
        <w:t>3</w:t>
      </w:r>
      <w:r w:rsidRPr="00E20884">
        <w:rPr>
          <w:sz w:val="28"/>
          <w:szCs w:val="28"/>
        </w:rPr>
        <w:t xml:space="preserve"> год и на плановый период 202</w:t>
      </w:r>
      <w:r w:rsidR="007C11D0">
        <w:rPr>
          <w:sz w:val="28"/>
          <w:szCs w:val="28"/>
        </w:rPr>
        <w:t>4</w:t>
      </w:r>
      <w:r w:rsidRPr="00E20884">
        <w:rPr>
          <w:sz w:val="28"/>
          <w:szCs w:val="28"/>
        </w:rPr>
        <w:t xml:space="preserve"> и 202</w:t>
      </w:r>
      <w:r w:rsidR="007C11D0">
        <w:rPr>
          <w:sz w:val="28"/>
          <w:szCs w:val="28"/>
        </w:rPr>
        <w:t>5</w:t>
      </w:r>
      <w:r w:rsidRPr="00E20884">
        <w:rPr>
          <w:sz w:val="28"/>
          <w:szCs w:val="28"/>
        </w:rPr>
        <w:t xml:space="preserve"> годов»</w:t>
      </w:r>
      <w:r w:rsidR="0078019B">
        <w:rPr>
          <w:sz w:val="28"/>
          <w:szCs w:val="28"/>
        </w:rPr>
        <w:t xml:space="preserve">, рассчитанный </w:t>
      </w:r>
      <w:r w:rsidR="0078019B" w:rsidRPr="0078019B">
        <w:rPr>
          <w:rFonts w:eastAsia="Times New Roman"/>
          <w:sz w:val="28"/>
          <w:szCs w:val="28"/>
        </w:rPr>
        <w:t>по методике, определенной приложением № 9 к Закону Иркутской области от 22.10.2013г. № 74-ОЗ «О межбюджетных трансфертах и нормативах отчислений доходов в местные бюджеты»</w:t>
      </w:r>
      <w:r w:rsidR="007640AA">
        <w:rPr>
          <w:rFonts w:eastAsia="Times New Roman"/>
          <w:sz w:val="28"/>
          <w:szCs w:val="28"/>
        </w:rPr>
        <w:t>;</w:t>
      </w:r>
    </w:p>
    <w:p w14:paraId="046E6C83" w14:textId="0421B490" w:rsidR="007A251D" w:rsidRPr="00E20884" w:rsidRDefault="007A251D" w:rsidP="00FE6E3D">
      <w:pPr>
        <w:ind w:right="170" w:firstLine="709"/>
        <w:jc w:val="both"/>
        <w:rPr>
          <w:sz w:val="28"/>
          <w:szCs w:val="28"/>
        </w:rPr>
      </w:pPr>
      <w:r w:rsidRPr="00E942D4">
        <w:rPr>
          <w:sz w:val="28"/>
          <w:szCs w:val="28"/>
        </w:rPr>
        <w:t>А</w:t>
      </w:r>
      <w:proofErr w:type="spellStart"/>
      <w:r w:rsidRPr="00E942D4">
        <w:rPr>
          <w:sz w:val="28"/>
          <w:szCs w:val="28"/>
          <w:vertAlign w:val="subscript"/>
          <w:lang w:val="en-US"/>
        </w:rPr>
        <w:t>i</w:t>
      </w:r>
      <w:proofErr w:type="spellEnd"/>
      <w:r w:rsidRPr="00E942D4">
        <w:rPr>
          <w:sz w:val="28"/>
          <w:szCs w:val="28"/>
          <w:vertAlign w:val="subscript"/>
        </w:rPr>
        <w:t xml:space="preserve"> </w:t>
      </w:r>
      <w:r w:rsidRPr="00E942D4">
        <w:rPr>
          <w:sz w:val="28"/>
          <w:szCs w:val="28"/>
        </w:rPr>
        <w:t xml:space="preserve">– ожидаемый объем поступлений акцизов по подакцизным товарам (продукции), производимым на территории Российской Федерации, </w:t>
      </w:r>
      <w:r w:rsidR="00F07772" w:rsidRPr="00E942D4">
        <w:rPr>
          <w:sz w:val="28"/>
          <w:szCs w:val="28"/>
        </w:rPr>
        <w:t xml:space="preserve">подлежащие зачислению в </w:t>
      </w:r>
      <w:r w:rsidR="00667877" w:rsidRPr="00E942D4">
        <w:rPr>
          <w:sz w:val="28"/>
          <w:szCs w:val="28"/>
        </w:rPr>
        <w:t xml:space="preserve">местный бюджет </w:t>
      </w:r>
      <w:r w:rsidR="00667877" w:rsidRPr="00E942D4">
        <w:rPr>
          <w:sz w:val="28"/>
          <w:szCs w:val="28"/>
          <w:lang w:val="en-US"/>
        </w:rPr>
        <w:t>j</w:t>
      </w:r>
      <w:r w:rsidR="00667877" w:rsidRPr="00E942D4">
        <w:rPr>
          <w:sz w:val="28"/>
          <w:szCs w:val="28"/>
        </w:rPr>
        <w:t xml:space="preserve">-го МО </w:t>
      </w:r>
      <w:r w:rsidRPr="00E942D4">
        <w:rPr>
          <w:sz w:val="28"/>
          <w:szCs w:val="28"/>
        </w:rPr>
        <w:t>на 202</w:t>
      </w:r>
      <w:r w:rsidR="007C11D0">
        <w:rPr>
          <w:sz w:val="28"/>
          <w:szCs w:val="28"/>
        </w:rPr>
        <w:t>3</w:t>
      </w:r>
      <w:r w:rsidRPr="00E942D4">
        <w:rPr>
          <w:sz w:val="28"/>
          <w:szCs w:val="28"/>
        </w:rPr>
        <w:t xml:space="preserve"> год.</w:t>
      </w:r>
    </w:p>
    <w:p w14:paraId="7477C114" w14:textId="5E75F13A" w:rsidR="00EE4600" w:rsidRPr="0080216A" w:rsidRDefault="00EE4600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Расчетный объем расходных обязательств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МО, входящего в состав Тулунского муниципального района на 202</w:t>
      </w:r>
      <w:r w:rsidR="007C11D0">
        <w:rPr>
          <w:sz w:val="28"/>
          <w:szCs w:val="28"/>
        </w:rPr>
        <w:t>3</w:t>
      </w:r>
      <w:r>
        <w:rPr>
          <w:sz w:val="28"/>
          <w:szCs w:val="28"/>
        </w:rPr>
        <w:t xml:space="preserve"> и на плановый период 202</w:t>
      </w:r>
      <w:r w:rsidR="007C11D0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7C11D0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(Р</w:t>
      </w:r>
      <w:r>
        <w:rPr>
          <w:sz w:val="28"/>
          <w:szCs w:val="28"/>
          <w:vertAlign w:val="subscript"/>
          <w:lang w:val="en-US"/>
        </w:rPr>
        <w:t>j</w:t>
      </w:r>
      <w:r w:rsidRPr="0080216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80216A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определяется по формуле:</w:t>
      </w:r>
    </w:p>
    <w:p w14:paraId="136F89B6" w14:textId="77777777" w:rsidR="00EE4600" w:rsidRDefault="00EE4600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</w:p>
    <w:p w14:paraId="1FCACBF9" w14:textId="2AFC9EC3" w:rsidR="00EE4600" w:rsidRPr="006A14CF" w:rsidRDefault="00B1629C" w:rsidP="00FE6E3D">
      <w:pPr>
        <w:ind w:right="170"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пог.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EE4600" w:rsidRPr="006A14CF">
        <w:rPr>
          <w:position w:val="-12"/>
          <w:sz w:val="28"/>
          <w:szCs w:val="28"/>
        </w:rPr>
        <w:t xml:space="preserve"> </w:t>
      </w:r>
      <w:r w:rsidR="00EE4600" w:rsidRPr="006A14CF">
        <w:rPr>
          <w:sz w:val="28"/>
          <w:szCs w:val="28"/>
        </w:rPr>
        <w:t>, где</w:t>
      </w:r>
    </w:p>
    <w:p w14:paraId="0297D6AD" w14:textId="77777777" w:rsidR="00EE4600" w:rsidRDefault="00EE4600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</w:p>
    <w:p w14:paraId="05615786" w14:textId="3430B2D9" w:rsidR="00330757" w:rsidRDefault="00330757" w:rsidP="00330757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>
        <w:rPr>
          <w:sz w:val="28"/>
          <w:szCs w:val="28"/>
          <w:vertAlign w:val="subscript"/>
          <w:lang w:val="en-US"/>
        </w:rPr>
        <w:t>j</w:t>
      </w:r>
      <w:r w:rsidRPr="00DD270B">
        <w:rPr>
          <w:sz w:val="28"/>
          <w:szCs w:val="28"/>
          <w:vertAlign w:val="subscript"/>
        </w:rPr>
        <w:t xml:space="preserve"> </w:t>
      </w:r>
      <w:r w:rsidRPr="00DD270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прогноз объема расходов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МО</w:t>
      </w:r>
      <w:r w:rsidRPr="00DD270B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принимается в объеме ожидаемой оценки на 202</w:t>
      </w:r>
      <w:r w:rsidR="007C11D0">
        <w:rPr>
          <w:sz w:val="28"/>
          <w:szCs w:val="28"/>
        </w:rPr>
        <w:t>3</w:t>
      </w:r>
      <w:r>
        <w:rPr>
          <w:sz w:val="28"/>
          <w:szCs w:val="28"/>
        </w:rPr>
        <w:t xml:space="preserve"> год без учета целевых средств, на основании данных оценки </w:t>
      </w:r>
      <w:bookmarkStart w:id="1" w:name="_Hlk90645504"/>
      <w:r>
        <w:rPr>
          <w:sz w:val="28"/>
          <w:szCs w:val="28"/>
        </w:rPr>
        <w:t>исполнения бюджета</w:t>
      </w:r>
      <w:r w:rsidR="00A27A7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bookmarkEnd w:id="1"/>
      <w:r w:rsidR="009125D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по следующим показателям: </w:t>
      </w:r>
    </w:p>
    <w:p w14:paraId="026763D5" w14:textId="6400CDE8" w:rsidR="00330757" w:rsidRPr="00330757" w:rsidRDefault="00330757" w:rsidP="00330757">
      <w:pPr>
        <w:pStyle w:val="ab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sz w:val="28"/>
          <w:szCs w:val="28"/>
        </w:rPr>
      </w:pPr>
      <w:r w:rsidRPr="00330757">
        <w:rPr>
          <w:rFonts w:eastAsia="Times New Roman"/>
          <w:color w:val="000000"/>
          <w:sz w:val="28"/>
          <w:szCs w:val="28"/>
        </w:rPr>
        <w:t>расходы на выплату заработной платы с начислениями на нее, социальные пособия и компенсации персоналу в денежной форме (КОСГУ 211, 213, 266)</w:t>
      </w:r>
      <w:r w:rsidR="00F07772" w:rsidRPr="00F07772">
        <w:rPr>
          <w:rFonts w:eastAsia="Times New Roman"/>
          <w:color w:val="000000"/>
          <w:sz w:val="28"/>
          <w:szCs w:val="28"/>
        </w:rPr>
        <w:t xml:space="preserve"> </w:t>
      </w:r>
      <w:r w:rsidR="00F07772">
        <w:rPr>
          <w:rFonts w:eastAsia="Times New Roman"/>
          <w:color w:val="000000"/>
          <w:sz w:val="28"/>
          <w:szCs w:val="28"/>
        </w:rPr>
        <w:t>(</w:t>
      </w:r>
      <w:r w:rsidR="00F07772" w:rsidRPr="00330757">
        <w:rPr>
          <w:rFonts w:eastAsia="Times New Roman"/>
          <w:color w:val="000000"/>
          <w:sz w:val="28"/>
          <w:szCs w:val="28"/>
        </w:rPr>
        <w:t>строка 7310</w:t>
      </w:r>
      <w:r w:rsidR="00F07772">
        <w:rPr>
          <w:rFonts w:eastAsia="Times New Roman"/>
          <w:color w:val="000000"/>
          <w:sz w:val="28"/>
          <w:szCs w:val="28"/>
        </w:rPr>
        <w:t>);</w:t>
      </w:r>
    </w:p>
    <w:p w14:paraId="536DA60A" w14:textId="79412E94" w:rsidR="00330757" w:rsidRPr="00330757" w:rsidRDefault="00330757" w:rsidP="00330757">
      <w:pPr>
        <w:pStyle w:val="ab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sz w:val="28"/>
          <w:szCs w:val="28"/>
        </w:rPr>
      </w:pPr>
      <w:r w:rsidRPr="00330757">
        <w:rPr>
          <w:rFonts w:eastAsia="Times New Roman"/>
          <w:color w:val="000000"/>
          <w:sz w:val="28"/>
          <w:szCs w:val="28"/>
        </w:rPr>
        <w:t>расходы на оплату коммунальных услуг</w:t>
      </w:r>
      <w:r w:rsidR="00F07772" w:rsidRPr="00F07772">
        <w:rPr>
          <w:rFonts w:eastAsia="Times New Roman"/>
          <w:color w:val="000000"/>
          <w:sz w:val="28"/>
          <w:szCs w:val="28"/>
        </w:rPr>
        <w:t xml:space="preserve"> </w:t>
      </w:r>
      <w:r w:rsidR="00F07772">
        <w:rPr>
          <w:rFonts w:eastAsia="Times New Roman"/>
          <w:color w:val="000000"/>
          <w:sz w:val="28"/>
          <w:szCs w:val="28"/>
        </w:rPr>
        <w:t>(</w:t>
      </w:r>
      <w:r w:rsidR="00F07772" w:rsidRPr="00330757">
        <w:rPr>
          <w:rFonts w:eastAsia="Times New Roman"/>
          <w:color w:val="000000"/>
          <w:sz w:val="28"/>
          <w:szCs w:val="28"/>
        </w:rPr>
        <w:t>строка 7320</w:t>
      </w:r>
      <w:r w:rsidR="00F07772">
        <w:rPr>
          <w:rFonts w:eastAsia="Times New Roman"/>
          <w:color w:val="000000"/>
          <w:sz w:val="28"/>
          <w:szCs w:val="28"/>
        </w:rPr>
        <w:t>)</w:t>
      </w:r>
      <w:r w:rsidRPr="00330757">
        <w:rPr>
          <w:rFonts w:eastAsia="Times New Roman"/>
          <w:color w:val="000000"/>
          <w:sz w:val="28"/>
          <w:szCs w:val="28"/>
        </w:rPr>
        <w:t>;</w:t>
      </w:r>
    </w:p>
    <w:p w14:paraId="3087A84D" w14:textId="4770D2C6" w:rsidR="00330757" w:rsidRPr="00330757" w:rsidRDefault="00330757" w:rsidP="00330757">
      <w:pPr>
        <w:pStyle w:val="ab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sz w:val="28"/>
          <w:szCs w:val="28"/>
        </w:rPr>
      </w:pPr>
      <w:r w:rsidRPr="00330757">
        <w:rPr>
          <w:rFonts w:eastAsia="Times New Roman"/>
          <w:color w:val="000000"/>
          <w:sz w:val="28"/>
          <w:szCs w:val="28"/>
        </w:rPr>
        <w:t>расходы на передачу части полномочий бюджету другого уровня по соглашениям</w:t>
      </w:r>
      <w:r w:rsidR="00F07772" w:rsidRPr="00F07772">
        <w:rPr>
          <w:rFonts w:eastAsia="Times New Roman"/>
          <w:color w:val="000000"/>
          <w:sz w:val="28"/>
          <w:szCs w:val="28"/>
        </w:rPr>
        <w:t xml:space="preserve"> </w:t>
      </w:r>
      <w:r w:rsidR="00F07772">
        <w:rPr>
          <w:rFonts w:eastAsia="Times New Roman"/>
          <w:color w:val="000000"/>
          <w:sz w:val="28"/>
          <w:szCs w:val="28"/>
        </w:rPr>
        <w:t>(</w:t>
      </w:r>
      <w:r w:rsidR="00F07772" w:rsidRPr="00330757">
        <w:rPr>
          <w:rFonts w:eastAsia="Times New Roman"/>
          <w:color w:val="000000"/>
          <w:sz w:val="28"/>
          <w:szCs w:val="28"/>
        </w:rPr>
        <w:t>строка 2400</w:t>
      </w:r>
      <w:r w:rsidR="00F07772">
        <w:rPr>
          <w:rFonts w:eastAsia="Times New Roman"/>
          <w:color w:val="000000"/>
          <w:sz w:val="28"/>
          <w:szCs w:val="28"/>
        </w:rPr>
        <w:t>)</w:t>
      </w:r>
      <w:r w:rsidRPr="00330757">
        <w:rPr>
          <w:rFonts w:eastAsia="Times New Roman"/>
          <w:color w:val="000000"/>
          <w:sz w:val="28"/>
          <w:szCs w:val="28"/>
        </w:rPr>
        <w:t>;</w:t>
      </w:r>
    </w:p>
    <w:p w14:paraId="5F505435" w14:textId="03B83E99" w:rsidR="00330757" w:rsidRPr="00330757" w:rsidRDefault="00330757" w:rsidP="00330757">
      <w:pPr>
        <w:pStyle w:val="ab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sz w:val="28"/>
          <w:szCs w:val="28"/>
        </w:rPr>
      </w:pPr>
      <w:r w:rsidRPr="00330757">
        <w:rPr>
          <w:rFonts w:eastAsia="Times New Roman"/>
          <w:color w:val="000000"/>
          <w:sz w:val="28"/>
          <w:szCs w:val="28"/>
        </w:rPr>
        <w:t>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</w:r>
      <w:r w:rsidR="00F07772" w:rsidRPr="00F07772">
        <w:rPr>
          <w:rFonts w:eastAsia="Times New Roman"/>
          <w:color w:val="000000"/>
          <w:sz w:val="28"/>
          <w:szCs w:val="28"/>
        </w:rPr>
        <w:t xml:space="preserve"> </w:t>
      </w:r>
      <w:r w:rsidR="00F07772">
        <w:rPr>
          <w:rFonts w:eastAsia="Times New Roman"/>
          <w:color w:val="000000"/>
          <w:sz w:val="28"/>
          <w:szCs w:val="28"/>
        </w:rPr>
        <w:t>(</w:t>
      </w:r>
      <w:r w:rsidR="00F07772" w:rsidRPr="00330757">
        <w:rPr>
          <w:rFonts w:eastAsia="Times New Roman"/>
          <w:color w:val="000000"/>
          <w:sz w:val="28"/>
          <w:szCs w:val="28"/>
        </w:rPr>
        <w:t xml:space="preserve">строка 13 таблицы N 2 оценки </w:t>
      </w:r>
      <w:r w:rsidR="00F07772">
        <w:rPr>
          <w:sz w:val="28"/>
          <w:szCs w:val="28"/>
        </w:rPr>
        <w:t>исполнения бюджета)</w:t>
      </w:r>
      <w:r w:rsidRPr="00330757">
        <w:rPr>
          <w:rFonts w:eastAsia="Times New Roman"/>
          <w:color w:val="000000"/>
          <w:sz w:val="28"/>
          <w:szCs w:val="28"/>
        </w:rPr>
        <w:t>;</w:t>
      </w:r>
    </w:p>
    <w:p w14:paraId="27BB64F9" w14:textId="0DAB6786" w:rsidR="00330757" w:rsidRPr="00330757" w:rsidRDefault="00330757" w:rsidP="00330757">
      <w:pPr>
        <w:pStyle w:val="ab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sz w:val="28"/>
          <w:szCs w:val="28"/>
        </w:rPr>
      </w:pPr>
      <w:r w:rsidRPr="00330757">
        <w:rPr>
          <w:rFonts w:eastAsia="Times New Roman"/>
          <w:color w:val="000000"/>
          <w:sz w:val="28"/>
          <w:szCs w:val="28"/>
        </w:rPr>
        <w:t xml:space="preserve"> доплата к пенсии муниципальным служащим</w:t>
      </w:r>
      <w:r w:rsidR="00F07772" w:rsidRPr="00F07772">
        <w:rPr>
          <w:rFonts w:eastAsia="Times New Roman"/>
          <w:color w:val="000000"/>
          <w:sz w:val="28"/>
          <w:szCs w:val="28"/>
        </w:rPr>
        <w:t xml:space="preserve"> </w:t>
      </w:r>
      <w:r w:rsidR="00F07772">
        <w:rPr>
          <w:rFonts w:eastAsia="Times New Roman"/>
          <w:color w:val="000000"/>
          <w:sz w:val="28"/>
          <w:szCs w:val="28"/>
        </w:rPr>
        <w:t>(</w:t>
      </w:r>
      <w:r w:rsidR="00F07772" w:rsidRPr="00330757">
        <w:rPr>
          <w:rFonts w:eastAsia="Times New Roman"/>
          <w:color w:val="000000"/>
          <w:sz w:val="28"/>
          <w:szCs w:val="28"/>
        </w:rPr>
        <w:t xml:space="preserve">строка 23 таблицы N 2 оценки </w:t>
      </w:r>
      <w:r w:rsidR="00F07772">
        <w:rPr>
          <w:sz w:val="28"/>
          <w:szCs w:val="28"/>
        </w:rPr>
        <w:t>исполнения бюджета);</w:t>
      </w:r>
    </w:p>
    <w:p w14:paraId="38D6BD22" w14:textId="043D6DE0" w:rsidR="00F56977" w:rsidRPr="00F56977" w:rsidRDefault="00F56977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БК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объем средств </w:t>
      </w:r>
      <w:r>
        <w:rPr>
          <w:sz w:val="28"/>
          <w:szCs w:val="28"/>
          <w:lang w:val="en-US"/>
        </w:rPr>
        <w:t>j</w:t>
      </w:r>
      <w:r w:rsidRPr="00F56977">
        <w:rPr>
          <w:sz w:val="28"/>
          <w:szCs w:val="28"/>
        </w:rPr>
        <w:t>-</w:t>
      </w:r>
      <w:r>
        <w:rPr>
          <w:sz w:val="28"/>
          <w:szCs w:val="28"/>
        </w:rPr>
        <w:t>го МО для погашения основного долга по кредитам, полученным из областного бюджета, в соответствующем году.</w:t>
      </w:r>
    </w:p>
    <w:p w14:paraId="45BACBC5" w14:textId="7ABF60CA" w:rsidR="00DD270B" w:rsidRDefault="00DD270B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AF11793" w14:textId="2E223559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B3BF622" w14:textId="665E34C4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71B28CE" w14:textId="77F94C5C" w:rsidR="009C3607" w:rsidRDefault="009C3607" w:rsidP="00330757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1F36A59" w14:textId="624394CC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5B0465A" w14:textId="6687C847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631C46A" w14:textId="6E490912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2EDED68" w14:textId="7CB9579D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D632203" w14:textId="0F1CC74D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E169256" w14:textId="22F8E461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15E2FBC" w14:textId="555A189C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C6F064A" w14:textId="4A513B1F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955E004" w14:textId="5E7FC56E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6C5EDD7" w14:textId="52424BFD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469FE8D" w14:textId="015758AB" w:rsidR="009C3607" w:rsidRDefault="009C3607" w:rsidP="00EE46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77E1DAC" w14:textId="77777777" w:rsidR="00FE6E3D" w:rsidRDefault="00FE6E3D" w:rsidP="009C3607">
      <w:pPr>
        <w:autoSpaceDE w:val="0"/>
        <w:autoSpaceDN w:val="0"/>
        <w:adjustRightInd w:val="0"/>
        <w:ind w:left="6521"/>
        <w:jc w:val="both"/>
        <w:rPr>
          <w:sz w:val="24"/>
          <w:szCs w:val="24"/>
        </w:rPr>
      </w:pPr>
    </w:p>
    <w:p w14:paraId="12273FA8" w14:textId="77777777" w:rsidR="00FE6E3D" w:rsidRDefault="00FE6E3D" w:rsidP="009C3607">
      <w:pPr>
        <w:autoSpaceDE w:val="0"/>
        <w:autoSpaceDN w:val="0"/>
        <w:adjustRightInd w:val="0"/>
        <w:ind w:left="6521"/>
        <w:jc w:val="both"/>
        <w:rPr>
          <w:sz w:val="24"/>
          <w:szCs w:val="24"/>
        </w:rPr>
      </w:pPr>
    </w:p>
    <w:p w14:paraId="55FCBB4A" w14:textId="77777777" w:rsidR="00FE6E3D" w:rsidRDefault="00FE6E3D" w:rsidP="009C3607">
      <w:pPr>
        <w:autoSpaceDE w:val="0"/>
        <w:autoSpaceDN w:val="0"/>
        <w:adjustRightInd w:val="0"/>
        <w:ind w:left="6521"/>
        <w:jc w:val="both"/>
        <w:rPr>
          <w:sz w:val="24"/>
          <w:szCs w:val="24"/>
        </w:rPr>
      </w:pPr>
    </w:p>
    <w:sectPr w:rsidR="00FE6E3D" w:rsidSect="003A636B">
      <w:footerReference w:type="even" r:id="rId10"/>
      <w:footerReference w:type="default" r:id="rId11"/>
      <w:pgSz w:w="11906" w:h="16838"/>
      <w:pgMar w:top="680" w:right="566" w:bottom="567" w:left="1247" w:header="720" w:footer="82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3EA2F" w14:textId="77777777" w:rsidR="00DF13A7" w:rsidRDefault="00DF13A7" w:rsidP="00A239B6">
      <w:r>
        <w:separator/>
      </w:r>
    </w:p>
  </w:endnote>
  <w:endnote w:type="continuationSeparator" w:id="0">
    <w:p w14:paraId="3053358A" w14:textId="77777777" w:rsidR="00DF13A7" w:rsidRDefault="00DF13A7" w:rsidP="00A2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6A4AC" w14:textId="77777777" w:rsidR="009820F3" w:rsidRDefault="009820F3" w:rsidP="006427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E814A1" w14:textId="77777777" w:rsidR="009820F3" w:rsidRDefault="009820F3" w:rsidP="00350AA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AF14A" w14:textId="77777777" w:rsidR="009820F3" w:rsidRDefault="009820F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629C">
      <w:rPr>
        <w:noProof/>
      </w:rPr>
      <w:t>2</w:t>
    </w:r>
    <w:r>
      <w:fldChar w:fldCharType="end"/>
    </w:r>
  </w:p>
  <w:p w14:paraId="32E79374" w14:textId="77777777" w:rsidR="009820F3" w:rsidRDefault="009820F3" w:rsidP="00B40CA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058E1" w14:textId="77777777" w:rsidR="00DF13A7" w:rsidRDefault="00DF13A7" w:rsidP="00A239B6">
      <w:r>
        <w:separator/>
      </w:r>
    </w:p>
  </w:footnote>
  <w:footnote w:type="continuationSeparator" w:id="0">
    <w:p w14:paraId="2150184D" w14:textId="77777777" w:rsidR="00DF13A7" w:rsidRDefault="00DF13A7" w:rsidP="00A23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07EA"/>
    <w:multiLevelType w:val="hybridMultilevel"/>
    <w:tmpl w:val="95BE11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2C18D7"/>
    <w:multiLevelType w:val="hybridMultilevel"/>
    <w:tmpl w:val="214258D6"/>
    <w:lvl w:ilvl="0" w:tplc="876EF3DE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9B0613"/>
    <w:multiLevelType w:val="hybridMultilevel"/>
    <w:tmpl w:val="A064C00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7A3FAE"/>
    <w:multiLevelType w:val="hybridMultilevel"/>
    <w:tmpl w:val="A3769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083507"/>
    <w:multiLevelType w:val="hybridMultilevel"/>
    <w:tmpl w:val="2DA2EE1C"/>
    <w:lvl w:ilvl="0" w:tplc="98AA1EC0">
      <w:start w:val="1"/>
      <w:numFmt w:val="decimal"/>
      <w:lvlText w:val="%1.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32BC1E0D"/>
    <w:multiLevelType w:val="hybridMultilevel"/>
    <w:tmpl w:val="B5027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7F5FD4"/>
    <w:multiLevelType w:val="multilevel"/>
    <w:tmpl w:val="B5027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6995204"/>
    <w:multiLevelType w:val="hybridMultilevel"/>
    <w:tmpl w:val="E358562C"/>
    <w:lvl w:ilvl="0" w:tplc="04190011">
      <w:start w:val="1"/>
      <w:numFmt w:val="decimal"/>
      <w:lvlText w:val="%1)"/>
      <w:lvlJc w:val="left"/>
      <w:pPr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>
    <w:nsid w:val="4F4F6232"/>
    <w:multiLevelType w:val="hybridMultilevel"/>
    <w:tmpl w:val="C67AAF68"/>
    <w:lvl w:ilvl="0" w:tplc="13E6AA2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C8"/>
    <w:rsid w:val="00000795"/>
    <w:rsid w:val="00002518"/>
    <w:rsid w:val="00005681"/>
    <w:rsid w:val="00025368"/>
    <w:rsid w:val="00030D78"/>
    <w:rsid w:val="00031A2A"/>
    <w:rsid w:val="00037711"/>
    <w:rsid w:val="00054DAA"/>
    <w:rsid w:val="00056D14"/>
    <w:rsid w:val="00086594"/>
    <w:rsid w:val="00092FE6"/>
    <w:rsid w:val="0009460C"/>
    <w:rsid w:val="0009780E"/>
    <w:rsid w:val="00097CC2"/>
    <w:rsid w:val="000A0BDC"/>
    <w:rsid w:val="000A1120"/>
    <w:rsid w:val="000A45A5"/>
    <w:rsid w:val="000B0621"/>
    <w:rsid w:val="000B2369"/>
    <w:rsid w:val="000B3A44"/>
    <w:rsid w:val="000B3F7C"/>
    <w:rsid w:val="000B58F9"/>
    <w:rsid w:val="000C45DA"/>
    <w:rsid w:val="000C50B8"/>
    <w:rsid w:val="000C5239"/>
    <w:rsid w:val="000E47DE"/>
    <w:rsid w:val="000F7FA6"/>
    <w:rsid w:val="00103E21"/>
    <w:rsid w:val="00113D38"/>
    <w:rsid w:val="00123B8A"/>
    <w:rsid w:val="001319CE"/>
    <w:rsid w:val="00133813"/>
    <w:rsid w:val="00134837"/>
    <w:rsid w:val="00141D3F"/>
    <w:rsid w:val="0014470B"/>
    <w:rsid w:val="00165551"/>
    <w:rsid w:val="00167DCC"/>
    <w:rsid w:val="001726C9"/>
    <w:rsid w:val="00175B73"/>
    <w:rsid w:val="00183D73"/>
    <w:rsid w:val="00197D3C"/>
    <w:rsid w:val="001B38E7"/>
    <w:rsid w:val="001C0E6A"/>
    <w:rsid w:val="001C7558"/>
    <w:rsid w:val="001D0723"/>
    <w:rsid w:val="001D6008"/>
    <w:rsid w:val="001E756D"/>
    <w:rsid w:val="001F27ED"/>
    <w:rsid w:val="00216068"/>
    <w:rsid w:val="00234703"/>
    <w:rsid w:val="002357CB"/>
    <w:rsid w:val="00251C19"/>
    <w:rsid w:val="00256B70"/>
    <w:rsid w:val="00272F4F"/>
    <w:rsid w:val="0029069A"/>
    <w:rsid w:val="00291652"/>
    <w:rsid w:val="002C24A0"/>
    <w:rsid w:val="002C5F10"/>
    <w:rsid w:val="002E0410"/>
    <w:rsid w:val="002E6532"/>
    <w:rsid w:val="0030263B"/>
    <w:rsid w:val="00303B80"/>
    <w:rsid w:val="00310DD9"/>
    <w:rsid w:val="00321770"/>
    <w:rsid w:val="00330757"/>
    <w:rsid w:val="003433B9"/>
    <w:rsid w:val="00343FDB"/>
    <w:rsid w:val="00346416"/>
    <w:rsid w:val="00350AAD"/>
    <w:rsid w:val="003539E1"/>
    <w:rsid w:val="003624F0"/>
    <w:rsid w:val="00384ED4"/>
    <w:rsid w:val="003929D4"/>
    <w:rsid w:val="003A1739"/>
    <w:rsid w:val="003A4506"/>
    <w:rsid w:val="003A636B"/>
    <w:rsid w:val="003A6C64"/>
    <w:rsid w:val="003A76EA"/>
    <w:rsid w:val="003B7D67"/>
    <w:rsid w:val="003D02F6"/>
    <w:rsid w:val="003D4C58"/>
    <w:rsid w:val="003F5560"/>
    <w:rsid w:val="003F7931"/>
    <w:rsid w:val="004037AF"/>
    <w:rsid w:val="00406946"/>
    <w:rsid w:val="00410808"/>
    <w:rsid w:val="00436E9E"/>
    <w:rsid w:val="004377DD"/>
    <w:rsid w:val="004410CA"/>
    <w:rsid w:val="004665FB"/>
    <w:rsid w:val="00472AC5"/>
    <w:rsid w:val="00473878"/>
    <w:rsid w:val="0047620D"/>
    <w:rsid w:val="004816A5"/>
    <w:rsid w:val="00482DA5"/>
    <w:rsid w:val="004A542C"/>
    <w:rsid w:val="004B7A36"/>
    <w:rsid w:val="004C6B32"/>
    <w:rsid w:val="004D0D89"/>
    <w:rsid w:val="004E06A7"/>
    <w:rsid w:val="004E4F82"/>
    <w:rsid w:val="004F1C45"/>
    <w:rsid w:val="004F3443"/>
    <w:rsid w:val="004F3D83"/>
    <w:rsid w:val="004F629F"/>
    <w:rsid w:val="00510613"/>
    <w:rsid w:val="00516DDF"/>
    <w:rsid w:val="00516E1D"/>
    <w:rsid w:val="005321A7"/>
    <w:rsid w:val="00536153"/>
    <w:rsid w:val="00542073"/>
    <w:rsid w:val="0054488D"/>
    <w:rsid w:val="0055208B"/>
    <w:rsid w:val="00563979"/>
    <w:rsid w:val="00570BAC"/>
    <w:rsid w:val="0057538B"/>
    <w:rsid w:val="00577749"/>
    <w:rsid w:val="005868D2"/>
    <w:rsid w:val="005A3CFE"/>
    <w:rsid w:val="005C0799"/>
    <w:rsid w:val="005C0950"/>
    <w:rsid w:val="005E47A7"/>
    <w:rsid w:val="005F02A4"/>
    <w:rsid w:val="005F22DF"/>
    <w:rsid w:val="005F47A0"/>
    <w:rsid w:val="006074A1"/>
    <w:rsid w:val="00612C3F"/>
    <w:rsid w:val="00614251"/>
    <w:rsid w:val="00614CE0"/>
    <w:rsid w:val="00622BCF"/>
    <w:rsid w:val="006427FF"/>
    <w:rsid w:val="00643315"/>
    <w:rsid w:val="00651FE6"/>
    <w:rsid w:val="00655400"/>
    <w:rsid w:val="0066146A"/>
    <w:rsid w:val="00667877"/>
    <w:rsid w:val="00674A9C"/>
    <w:rsid w:val="00675B40"/>
    <w:rsid w:val="00686967"/>
    <w:rsid w:val="006A45CA"/>
    <w:rsid w:val="006B1321"/>
    <w:rsid w:val="006B7784"/>
    <w:rsid w:val="006E395A"/>
    <w:rsid w:val="0070462D"/>
    <w:rsid w:val="0071225F"/>
    <w:rsid w:val="00712F1F"/>
    <w:rsid w:val="0071361C"/>
    <w:rsid w:val="00716792"/>
    <w:rsid w:val="007233F8"/>
    <w:rsid w:val="007235FD"/>
    <w:rsid w:val="007313E4"/>
    <w:rsid w:val="00733177"/>
    <w:rsid w:val="007519F8"/>
    <w:rsid w:val="007640AA"/>
    <w:rsid w:val="00774D0C"/>
    <w:rsid w:val="0078019B"/>
    <w:rsid w:val="00793491"/>
    <w:rsid w:val="00793B1D"/>
    <w:rsid w:val="007A251D"/>
    <w:rsid w:val="007A6B9D"/>
    <w:rsid w:val="007A75D2"/>
    <w:rsid w:val="007B001A"/>
    <w:rsid w:val="007B035D"/>
    <w:rsid w:val="007B1E6A"/>
    <w:rsid w:val="007C11D0"/>
    <w:rsid w:val="007C441B"/>
    <w:rsid w:val="007C7542"/>
    <w:rsid w:val="007C76D0"/>
    <w:rsid w:val="007C7888"/>
    <w:rsid w:val="007E271A"/>
    <w:rsid w:val="008004AF"/>
    <w:rsid w:val="008006D5"/>
    <w:rsid w:val="0080195C"/>
    <w:rsid w:val="00801977"/>
    <w:rsid w:val="0080216A"/>
    <w:rsid w:val="008050CB"/>
    <w:rsid w:val="00822971"/>
    <w:rsid w:val="00823F6B"/>
    <w:rsid w:val="00831064"/>
    <w:rsid w:val="00833E24"/>
    <w:rsid w:val="008546ED"/>
    <w:rsid w:val="00860FD6"/>
    <w:rsid w:val="00861C3E"/>
    <w:rsid w:val="00870CCB"/>
    <w:rsid w:val="00880040"/>
    <w:rsid w:val="0088059E"/>
    <w:rsid w:val="00886E65"/>
    <w:rsid w:val="00890638"/>
    <w:rsid w:val="008A2768"/>
    <w:rsid w:val="008B26BE"/>
    <w:rsid w:val="008C3982"/>
    <w:rsid w:val="008C7633"/>
    <w:rsid w:val="008D3AD6"/>
    <w:rsid w:val="008E01C8"/>
    <w:rsid w:val="008E31BC"/>
    <w:rsid w:val="008F1DD9"/>
    <w:rsid w:val="00900D48"/>
    <w:rsid w:val="00900ED3"/>
    <w:rsid w:val="00910CB8"/>
    <w:rsid w:val="009125D9"/>
    <w:rsid w:val="00933BBA"/>
    <w:rsid w:val="00937AA4"/>
    <w:rsid w:val="009403C1"/>
    <w:rsid w:val="00941CAE"/>
    <w:rsid w:val="00952DAE"/>
    <w:rsid w:val="00981A7B"/>
    <w:rsid w:val="009820F3"/>
    <w:rsid w:val="00985747"/>
    <w:rsid w:val="009876EE"/>
    <w:rsid w:val="009908B4"/>
    <w:rsid w:val="0099265D"/>
    <w:rsid w:val="009B68B5"/>
    <w:rsid w:val="009C2871"/>
    <w:rsid w:val="009C3607"/>
    <w:rsid w:val="009C7233"/>
    <w:rsid w:val="009E45B4"/>
    <w:rsid w:val="00A01878"/>
    <w:rsid w:val="00A12B2A"/>
    <w:rsid w:val="00A239B6"/>
    <w:rsid w:val="00A26614"/>
    <w:rsid w:val="00A27A75"/>
    <w:rsid w:val="00A37CFD"/>
    <w:rsid w:val="00A46E32"/>
    <w:rsid w:val="00A6205D"/>
    <w:rsid w:val="00A62979"/>
    <w:rsid w:val="00A77A4E"/>
    <w:rsid w:val="00A802A5"/>
    <w:rsid w:val="00A86EB9"/>
    <w:rsid w:val="00A907D9"/>
    <w:rsid w:val="00AA0543"/>
    <w:rsid w:val="00AC29C0"/>
    <w:rsid w:val="00AC770F"/>
    <w:rsid w:val="00AD0750"/>
    <w:rsid w:val="00AD54DC"/>
    <w:rsid w:val="00AE0E1A"/>
    <w:rsid w:val="00AE26C9"/>
    <w:rsid w:val="00AE283D"/>
    <w:rsid w:val="00AF0E47"/>
    <w:rsid w:val="00B01232"/>
    <w:rsid w:val="00B07302"/>
    <w:rsid w:val="00B1629C"/>
    <w:rsid w:val="00B2763D"/>
    <w:rsid w:val="00B40A99"/>
    <w:rsid w:val="00B40CAE"/>
    <w:rsid w:val="00B52FF4"/>
    <w:rsid w:val="00B710ED"/>
    <w:rsid w:val="00B717E9"/>
    <w:rsid w:val="00B74F3C"/>
    <w:rsid w:val="00B83165"/>
    <w:rsid w:val="00B831F1"/>
    <w:rsid w:val="00B83D22"/>
    <w:rsid w:val="00B84738"/>
    <w:rsid w:val="00B97BF2"/>
    <w:rsid w:val="00BB157B"/>
    <w:rsid w:val="00BB6ACB"/>
    <w:rsid w:val="00BC559C"/>
    <w:rsid w:val="00BD05CC"/>
    <w:rsid w:val="00BD1E89"/>
    <w:rsid w:val="00BF045D"/>
    <w:rsid w:val="00BF17D3"/>
    <w:rsid w:val="00BF5D82"/>
    <w:rsid w:val="00BF745F"/>
    <w:rsid w:val="00C00200"/>
    <w:rsid w:val="00C04798"/>
    <w:rsid w:val="00C1381A"/>
    <w:rsid w:val="00C157C3"/>
    <w:rsid w:val="00C15B3F"/>
    <w:rsid w:val="00C171B2"/>
    <w:rsid w:val="00C20690"/>
    <w:rsid w:val="00C251C0"/>
    <w:rsid w:val="00C27D2D"/>
    <w:rsid w:val="00C328D0"/>
    <w:rsid w:val="00C37D80"/>
    <w:rsid w:val="00C42425"/>
    <w:rsid w:val="00C5271A"/>
    <w:rsid w:val="00C53E09"/>
    <w:rsid w:val="00C573B6"/>
    <w:rsid w:val="00C60591"/>
    <w:rsid w:val="00C60AFA"/>
    <w:rsid w:val="00C6778C"/>
    <w:rsid w:val="00C758A8"/>
    <w:rsid w:val="00C91EDE"/>
    <w:rsid w:val="00C9722F"/>
    <w:rsid w:val="00CA708F"/>
    <w:rsid w:val="00CB4487"/>
    <w:rsid w:val="00CC5F42"/>
    <w:rsid w:val="00CD15C0"/>
    <w:rsid w:val="00CD5352"/>
    <w:rsid w:val="00CD6FC3"/>
    <w:rsid w:val="00CE6C64"/>
    <w:rsid w:val="00CF2C75"/>
    <w:rsid w:val="00CF5C15"/>
    <w:rsid w:val="00D03282"/>
    <w:rsid w:val="00D03C55"/>
    <w:rsid w:val="00D05D18"/>
    <w:rsid w:val="00D14FBB"/>
    <w:rsid w:val="00D164A5"/>
    <w:rsid w:val="00D20E61"/>
    <w:rsid w:val="00D45E3C"/>
    <w:rsid w:val="00D70896"/>
    <w:rsid w:val="00D81E43"/>
    <w:rsid w:val="00DA040D"/>
    <w:rsid w:val="00DA11D2"/>
    <w:rsid w:val="00DB429D"/>
    <w:rsid w:val="00DB4BD7"/>
    <w:rsid w:val="00DC1F01"/>
    <w:rsid w:val="00DD1898"/>
    <w:rsid w:val="00DD270B"/>
    <w:rsid w:val="00DD4AC9"/>
    <w:rsid w:val="00DD7541"/>
    <w:rsid w:val="00DD7AAC"/>
    <w:rsid w:val="00DE5BAF"/>
    <w:rsid w:val="00DF13A7"/>
    <w:rsid w:val="00DF36BE"/>
    <w:rsid w:val="00DF7413"/>
    <w:rsid w:val="00E00F48"/>
    <w:rsid w:val="00E025FC"/>
    <w:rsid w:val="00E04237"/>
    <w:rsid w:val="00E125E5"/>
    <w:rsid w:val="00E13D04"/>
    <w:rsid w:val="00E2662D"/>
    <w:rsid w:val="00E27C54"/>
    <w:rsid w:val="00E33529"/>
    <w:rsid w:val="00E3674C"/>
    <w:rsid w:val="00E41DF7"/>
    <w:rsid w:val="00E54552"/>
    <w:rsid w:val="00E57735"/>
    <w:rsid w:val="00E600BD"/>
    <w:rsid w:val="00E942D4"/>
    <w:rsid w:val="00E96A6E"/>
    <w:rsid w:val="00EC7E07"/>
    <w:rsid w:val="00ED1B81"/>
    <w:rsid w:val="00ED52C8"/>
    <w:rsid w:val="00EE2D5F"/>
    <w:rsid w:val="00EE4600"/>
    <w:rsid w:val="00EF0B1A"/>
    <w:rsid w:val="00EF5BCB"/>
    <w:rsid w:val="00F05CA1"/>
    <w:rsid w:val="00F060C5"/>
    <w:rsid w:val="00F07772"/>
    <w:rsid w:val="00F17CFE"/>
    <w:rsid w:val="00F2491B"/>
    <w:rsid w:val="00F250F1"/>
    <w:rsid w:val="00F27D86"/>
    <w:rsid w:val="00F35659"/>
    <w:rsid w:val="00F41814"/>
    <w:rsid w:val="00F46CCE"/>
    <w:rsid w:val="00F56977"/>
    <w:rsid w:val="00F60D6F"/>
    <w:rsid w:val="00F621F8"/>
    <w:rsid w:val="00F766C7"/>
    <w:rsid w:val="00FB7A85"/>
    <w:rsid w:val="00FC33F5"/>
    <w:rsid w:val="00FD229E"/>
    <w:rsid w:val="00FD6761"/>
    <w:rsid w:val="00FE6E3D"/>
    <w:rsid w:val="00FF1D28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0BE3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 w:uiPriority="99"/>
    <w:lsdException w:name="caption" w:locked="1" w:qFormat="1"/>
    <w:lsdException w:name="page number" w:locked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0C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410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4410CA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Title">
    <w:name w:val="ConsPlusTitle"/>
    <w:rsid w:val="004410C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5">
    <w:name w:val="page number"/>
    <w:rsid w:val="004410CA"/>
    <w:rPr>
      <w:rFonts w:cs="Times New Roman"/>
    </w:rPr>
  </w:style>
  <w:style w:type="paragraph" w:styleId="a6">
    <w:name w:val="Balloon Text"/>
    <w:basedOn w:val="a"/>
    <w:link w:val="a7"/>
    <w:semiHidden/>
    <w:rsid w:val="001319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DB4BD7"/>
    <w:rPr>
      <w:rFonts w:ascii="Times New Roman" w:hAnsi="Times New Roman" w:cs="Times New Roman"/>
      <w:sz w:val="2"/>
    </w:rPr>
  </w:style>
  <w:style w:type="paragraph" w:styleId="a8">
    <w:name w:val="header"/>
    <w:basedOn w:val="a"/>
    <w:rsid w:val="00B40CAE"/>
    <w:pPr>
      <w:tabs>
        <w:tab w:val="center" w:pos="4677"/>
        <w:tab w:val="right" w:pos="9355"/>
      </w:tabs>
    </w:pPr>
  </w:style>
  <w:style w:type="character" w:styleId="a9">
    <w:name w:val="Placeholder Text"/>
    <w:basedOn w:val="a0"/>
    <w:uiPriority w:val="99"/>
    <w:semiHidden/>
    <w:rsid w:val="00712F1F"/>
    <w:rPr>
      <w:color w:val="808080"/>
    </w:rPr>
  </w:style>
  <w:style w:type="table" w:styleId="aa">
    <w:name w:val="Table Grid"/>
    <w:basedOn w:val="a1"/>
    <w:locked/>
    <w:rsid w:val="00AA0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83D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 w:uiPriority="99"/>
    <w:lsdException w:name="caption" w:locked="1" w:qFormat="1"/>
    <w:lsdException w:name="page number" w:locked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0C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410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4410CA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Title">
    <w:name w:val="ConsPlusTitle"/>
    <w:rsid w:val="004410C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5">
    <w:name w:val="page number"/>
    <w:rsid w:val="004410CA"/>
    <w:rPr>
      <w:rFonts w:cs="Times New Roman"/>
    </w:rPr>
  </w:style>
  <w:style w:type="paragraph" w:styleId="a6">
    <w:name w:val="Balloon Text"/>
    <w:basedOn w:val="a"/>
    <w:link w:val="a7"/>
    <w:semiHidden/>
    <w:rsid w:val="001319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DB4BD7"/>
    <w:rPr>
      <w:rFonts w:ascii="Times New Roman" w:hAnsi="Times New Roman" w:cs="Times New Roman"/>
      <w:sz w:val="2"/>
    </w:rPr>
  </w:style>
  <w:style w:type="paragraph" w:styleId="a8">
    <w:name w:val="header"/>
    <w:basedOn w:val="a"/>
    <w:rsid w:val="00B40CAE"/>
    <w:pPr>
      <w:tabs>
        <w:tab w:val="center" w:pos="4677"/>
        <w:tab w:val="right" w:pos="9355"/>
      </w:tabs>
    </w:pPr>
  </w:style>
  <w:style w:type="character" w:styleId="a9">
    <w:name w:val="Placeholder Text"/>
    <w:basedOn w:val="a0"/>
    <w:uiPriority w:val="99"/>
    <w:semiHidden/>
    <w:rsid w:val="00712F1F"/>
    <w:rPr>
      <w:color w:val="808080"/>
    </w:rPr>
  </w:style>
  <w:style w:type="table" w:styleId="aa">
    <w:name w:val="Table Grid"/>
    <w:basedOn w:val="a1"/>
    <w:locked/>
    <w:rsid w:val="00AA0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83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3B185EA7DF5A72FB1F16AF93F7B4AC22F256F34556E5AE2723CC0FF25B405B0E2FB7469E60C596F259DBFFCA3E8DFFC300809DE8895142BB8999FAgAu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D9A33-35C1-4F3E-9888-4C1CCC99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</vt:lpstr>
    </vt:vector>
  </TitlesOfParts>
  <Company>CtrlSoft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</dc:title>
  <dc:subject/>
  <dc:creator>Туева</dc:creator>
  <cp:keywords/>
  <cp:lastModifiedBy>Елена Распопина</cp:lastModifiedBy>
  <cp:revision>42</cp:revision>
  <cp:lastPrinted>2022-10-26T08:31:00Z</cp:lastPrinted>
  <dcterms:created xsi:type="dcterms:W3CDTF">2021-06-01T07:35:00Z</dcterms:created>
  <dcterms:modified xsi:type="dcterms:W3CDTF">2022-11-12T03:35:00Z</dcterms:modified>
</cp:coreProperties>
</file>